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pycairo 1.26.0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James Henstridge</w:t>
        <w:br/>
        <w:t>Copyright 2017 Christoph Reiter</w:t>
        <w:br/>
        <w:t>Copyright (c) 2005 Steve Chaplin</w:t>
        <w:br/>
        <w:t>Copyright (c) 2004-2006 Steve Chaplin</w:t>
        <w:br/>
        <w:t>Copyright (c) 2003 James Henstridge, Steven Chaplin</w:t>
        <w:br/>
        <w:t>Copyright (c) 2004-2011 Steven Chaplin</w:t>
        <w:br/>
        <w:t>Copyright (c) 2005,2010 Steve Chaplin</w:t>
        <w:br/>
        <w:t>Copyright (c) 1991, 1999 Free Software Foundation, Inc.</w:t>
        <w:br/>
        <w:t>Copyright (c) . all rights reserved.</w:t>
        <w:br/>
        <w:t>Copyright (c) 2017 Christoph Reiter</w:t>
        <w:br/>
      </w:r>
    </w:p>
    <w:p>
      <w:pPr>
        <w:spacing w:line="420" w:lineRule="exact"/>
        <w:rPr>
          <w:rFonts w:hint="eastAsia"/>
        </w:rPr>
      </w:pPr>
      <w:r>
        <w:rPr>
          <w:rFonts w:ascii="Arial" w:hAnsi="Arial"/>
          <w:b/>
          <w:sz w:val="24"/>
        </w:rPr>
        <w:t xml:space="preserve">License: </w:t>
      </w:r>
      <w:r>
        <w:rPr>
          <w:rFonts w:ascii="Arial" w:hAnsi="Arial"/>
          <w:sz w:val="21"/>
        </w:rPr>
        <w:t>LGPL-2.1-only OR MPL-1.1</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