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 8.4.0</w:t>
      </w:r>
    </w:p>
    <w:p>
      <w:pPr/>
      <w:r>
        <w:rPr>
          <w:rStyle w:val="13"/>
          <w:rFonts w:ascii="Arial" w:hAnsi="Arial"/>
          <w:b/>
        </w:rPr>
        <w:t xml:space="preserve">Copyright notice: </w:t>
      </w:r>
    </w:p>
    <w:p>
      <w:pPr/>
      <w:r>
        <w:rPr>
          <w:rStyle w:val="13"/>
          <w:rFonts w:ascii="宋体" w:hAnsi="宋体"/>
          <w:sz w:val="22"/>
        </w:rPr>
        <w:t>Copyright (c) 2010-2014 TJ Holowaychuk &lt;tj@vision-media.ca&gt;</w:t>
        <w:br/>
        <w:t>Copyright (c) 2006, 2008 Junio C Hamano</w:t>
        <w:br/>
        <w:t>Copyright (c) 2009 Thomas Robinson &lt;280north.com&gt;</w:t>
        <w:br/>
        <w:t>Copyright Joyent, Inc. and other Node contributors.</w:t>
        <w:br/>
        <w:t>Copyright(c) 2013-2016 Denis Bardadym &lt;bardadymchik@gmail.com&gt;</w:t>
        <w:br/>
        <w:t>Copyright(c) 2010-2013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