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libXvMC 1.0.13</w:t>
      </w:r>
    </w:p>
    <w:p>
      <w:pPr/>
      <w:r>
        <w:rPr>
          <w:rStyle w:val="13"/>
          <w:rFonts w:ascii="Arial" w:hAnsi="Arial"/>
          <w:b/>
        </w:rPr>
        <w:t xml:space="preserve">Copyright notice: </w:t>
      </w:r>
    </w:p>
    <w:p>
      <w:pPr/>
      <w:r>
        <w:rPr>
          <w:rStyle w:val="13"/>
          <w:rFonts w:ascii="宋体" w:hAnsi="宋体"/>
          <w:sz w:val="22"/>
        </w:rPr>
        <w:t>Copyright (c) 2004 The Unichrome project. All rights reserved.</w:t>
        <w:br/>
        <w:t>Copyright (c) 2004 The Unichrome Project.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