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python-sphinxcontrib-websupport 2.0.0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2010-2016, Georg Brandl &amp; Team</w:t>
        <w:br/>
      </w:r>
    </w:p>
    <w:p>
      <w:pPr>
        <w:spacing w:line="420" w:lineRule="exact"/>
        <w:rPr>
          <w:rFonts w:hint="eastAsia"/>
        </w:rPr>
      </w:pPr>
      <w:r>
        <w:rPr>
          <w:rFonts w:ascii="Arial" w:hAnsi="Arial"/>
          <w:b/>
          <w:sz w:val="24"/>
        </w:rPr>
        <w:t xml:space="preserve">License: </w:t>
      </w:r>
      <w:r>
        <w:rPr>
          <w:rFonts w:ascii="Arial" w:hAnsi="Arial"/>
          <w:sz w:val="21"/>
        </w:rPr>
        <w:t>BSD</w:t>
      </w:r>
    </w:p>
    <w:p>
      <w:pPr>
        <w:spacing w:line="420" w:lineRule="exact"/>
        <w:rPr>
          <w:rFonts w:hint="eastAsia" w:ascii="Arial" w:hAnsi="Arial"/>
          <w:b/>
          <w:sz w:val="24"/>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